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800"/>
      </w:pPr>
      <w:r>
        <w:rPr>
          <w:rFonts w:ascii="Arial" w:cs="Arial" w:eastAsia="Arial" w:hAnsi="Arial"/>
          <w:b/>
          <w:bCs/>
          <w:color w:val="2E63F2"/>
          <w:spacing w:val="40"/>
          <w:sz w:val="18"/>
          <w:szCs w:val="18"/>
        </w:rPr>
        <w:t xml:space="preserve">GUIA DE MARCA · v1.0</w:t>
      </w:r>
    </w:p>
    <w:p>
      <w:pPr>
        <w:spacing w:after="240"/>
        <w:jc w:val="left"/>
      </w:pPr>
      <w:r>
        <w:drawing>
          <wp:inline distT="0" distB="0" distL="0" distR="0">
            <wp:extent cx="4095750" cy="904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Arial" w:cs="Arial" w:eastAsia="Arial" w:hAnsi="Arial"/>
          <w:b/>
          <w:bCs/>
          <w:color w:val="23255C"/>
          <w:sz w:val="72"/>
          <w:szCs w:val="72"/>
        </w:rPr>
        <w:t xml:space="preserve">Sistema Órbita</w:t>
      </w:r>
    </w:p>
    <w:p>
      <w:pPr>
        <w:spacing w:after="280" w:line="276"/>
      </w:pPr>
      <w:r>
        <w:rPr>
          <w:rFonts w:ascii="Arial" w:cs="Arial" w:eastAsia="Arial" w:hAnsi="Arial"/>
          <w:color w:val="2A2D34"/>
          <w:sz w:val="24"/>
          <w:szCs w:val="24"/>
        </w:rPr>
        <w:t xml:space="preserve">Identidade visual da intechpro para a era da inteligência aplicada: dados em movimento, decisões em fluxo e uma marca que carrega 1999 no futuro.</w:t>
      </w:r>
    </w:p>
    <w:p>
      <w:pPr>
        <w:pBdr>
          <w:bottom w:val="single" w:color="2E63F2" w:sz="8"/>
        </w:pBdr>
        <w:spacing w:after="140"/>
      </w:pPr>
    </w:p>
    <w:p>
      <w:pPr>
        <w:spacing w:after="120" w:line="276"/>
      </w:pPr>
      <w:r>
        <w:rPr>
          <w:rFonts w:ascii="Arial" w:cs="Arial" w:eastAsia="Arial" w:hAnsi="Arial"/>
          <w:color w:val="2A2D34"/>
          <w:sz w:val="19"/>
          <w:szCs w:val="19"/>
        </w:rPr>
        <w:t xml:space="preserve">Desde </w:t>
      </w:r>
      <w:r>
        <w:rPr>
          <w:rFonts w:ascii="Arial" w:cs="Arial" w:eastAsia="Arial" w:hAnsi="Arial"/>
          <w:b/>
          <w:bCs/>
          <w:color w:val="23255C"/>
          <w:sz w:val="19"/>
          <w:szCs w:val="19"/>
        </w:rPr>
        <w:t xml:space="preserve">1999</w:t>
      </w:r>
      <w:r>
        <w:rPr>
          <w:rFonts w:ascii="Arial" w:cs="Arial" w:eastAsia="Arial" w:hAnsi="Arial"/>
          <w:color w:val="2A2D34"/>
          <w:sz w:val="19"/>
          <w:szCs w:val="19"/>
        </w:rPr>
        <w:t xml:space="preserve">      Sistema </w:t>
      </w:r>
      <w:r>
        <w:rPr>
          <w:rFonts w:ascii="Arial" w:cs="Arial" w:eastAsia="Arial" w:hAnsi="Arial"/>
          <w:b/>
          <w:bCs/>
          <w:color w:val="23255C"/>
          <w:sz w:val="19"/>
          <w:szCs w:val="19"/>
        </w:rPr>
        <w:t xml:space="preserve">Órbita</w:t>
      </w:r>
      <w:r>
        <w:rPr>
          <w:rFonts w:ascii="Arial" w:cs="Arial" w:eastAsia="Arial" w:hAnsi="Arial"/>
          <w:color w:val="2A2D34"/>
          <w:sz w:val="19"/>
          <w:szCs w:val="19"/>
        </w:rPr>
        <w:t xml:space="preserve">      Foco </w:t>
      </w:r>
      <w:r>
        <w:rPr>
          <w:rFonts w:ascii="Arial" w:cs="Arial" w:eastAsia="Arial" w:hAnsi="Arial"/>
          <w:b/>
          <w:bCs/>
          <w:color w:val="23255C"/>
          <w:sz w:val="19"/>
          <w:szCs w:val="19"/>
        </w:rPr>
        <w:t xml:space="preserve">IA · Digital Supply Chain</w:t>
      </w:r>
      <w:r>
        <w:rPr>
          <w:rFonts w:ascii="Arial" w:cs="Arial" w:eastAsia="Arial" w:hAnsi="Arial"/>
          <w:color w:val="2A2D34"/>
          <w:sz w:val="19"/>
          <w:szCs w:val="19"/>
        </w:rPr>
        <w:t xml:space="preserve">      </w:t>
      </w:r>
      <w:r>
        <w:rPr>
          <w:rFonts w:ascii="Arial" w:cs="Arial" w:eastAsia="Arial" w:hAnsi="Arial"/>
          <w:b/>
          <w:bCs/>
          <w:color w:val="2E63F2"/>
          <w:sz w:val="19"/>
          <w:szCs w:val="19"/>
        </w:rPr>
        <w:t xml:space="preserve">intechpro.com.br</w:t>
      </w:r>
    </w:p>
    <w:p>
      <w:r>
        <w:br w:type="page"/>
      </w:r>
    </w:p>
    <w:p>
      <w:pPr>
        <w:spacing w:after="40" w:before="400"/>
      </w:pPr>
      <w:r>
        <w:rPr>
          <w:rFonts w:ascii="Arial" w:cs="Arial" w:eastAsia="Arial" w:hAnsi="Arial"/>
          <w:b/>
          <w:bCs/>
          <w:color w:val="2E63F2"/>
          <w:spacing w:val="30"/>
          <w:sz w:val="17"/>
          <w:szCs w:val="17"/>
        </w:rPr>
        <w:t xml:space="preserve">01  —  INTRODUÇÃO</w:t>
      </w:r>
    </w:p>
    <w:p>
      <w:pPr>
        <w:pStyle w:val="Heading1"/>
        <w:spacing w:after="140" w:before="0"/>
      </w:pPr>
      <w:r>
        <w:rPr>
          <w:rFonts w:ascii="Arial" w:cs="Arial" w:eastAsia="Arial" w:hAnsi="Arial"/>
          <w:b/>
          <w:bCs/>
          <w:color w:val="23255C"/>
          <w:sz w:val="34"/>
          <w:szCs w:val="34"/>
        </w:rPr>
        <w:t xml:space="preserve">Uma evolução, não uma ruptura.</w:t>
      </w:r>
    </w:p>
    <w:p>
      <w:pPr>
        <w:spacing w:after="120" w:line="276"/>
      </w:pPr>
      <w:r>
        <w:rPr>
          <w:rFonts w:ascii="Arial" w:cs="Arial" w:eastAsia="Arial" w:hAnsi="Arial"/>
          <w:color w:val="1B1D2E"/>
          <w:sz w:val="21"/>
          <w:szCs w:val="21"/>
        </w:rPr>
        <w:t xml:space="preserve">A intechpro nasceu em 1999 e amadureceu junto com a transformação digital das operações. Hoje a empresa investe em inteligência artificial, modernização de processos, gestão de ativos e digital supply chain, com parcerias como SAP e Docusign. A marca precisava acompanhar esse salto — sem apagar de onde veio.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color w:val="23255C"/>
          <w:sz w:val="21"/>
          <w:szCs w:val="21"/>
        </w:rPr>
        <w:t xml:space="preserve">O que preservamos.  </w:t>
      </w:r>
      <w:r>
        <w:rPr>
          <w:rFonts w:ascii="Arial" w:cs="Arial" w:eastAsia="Arial" w:hAnsi="Arial"/>
          <w:color w:val="1B1D2E"/>
          <w:sz w:val="21"/>
          <w:szCs w:val="21"/>
        </w:rPr>
        <w:t xml:space="preserve">O wordmark em minúsculas, o índigo histórico e, acima de tudo, o arco — aquele gesto de movimento que sempre existiu ao lado do nome.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color w:val="23255C"/>
          <w:sz w:val="21"/>
          <w:szCs w:val="21"/>
        </w:rPr>
        <w:t xml:space="preserve">O que evoluímos.  </w:t>
      </w:r>
      <w:r>
        <w:rPr>
          <w:rFonts w:ascii="Arial" w:cs="Arial" w:eastAsia="Arial" w:hAnsi="Arial"/>
          <w:color w:val="1B1D2E"/>
          <w:sz w:val="21"/>
          <w:szCs w:val="21"/>
        </w:rPr>
        <w:t xml:space="preserve">O arco virou uma órbita com um nó de inteligência. Um circuito contínuo (a cadeia que não para) com um ponto de decisão (a IA). E o “o” de </w:t>
      </w:r>
      <w:r>
        <w:rPr>
          <w:rFonts w:ascii="Arial" w:cs="Arial" w:eastAsia="Arial" w:hAnsi="Arial"/>
          <w:b/>
          <w:bCs/>
          <w:color w:val="2E63F2"/>
          <w:sz w:val="21"/>
          <w:szCs w:val="21"/>
        </w:rPr>
        <w:t xml:space="preserve">pro</w:t>
      </w:r>
      <w:r>
        <w:rPr>
          <w:rFonts w:ascii="Arial" w:cs="Arial" w:eastAsia="Arial" w:hAnsi="Arial"/>
          <w:color w:val="1B1D2E"/>
          <w:sz w:val="21"/>
          <w:szCs w:val="21"/>
        </w:rPr>
        <w:t xml:space="preserve"> tornou-se o próprio símbolo em miniatura — a marca vive dentro da palavra.</w:t>
      </w:r>
    </w:p>
    <w:p>
      <w:r>
        <w:br w:type="page"/>
      </w:r>
    </w:p>
    <w:p>
      <w:pPr>
        <w:spacing w:after="40" w:before="400"/>
      </w:pPr>
      <w:r>
        <w:rPr>
          <w:rFonts w:ascii="Arial" w:cs="Arial" w:eastAsia="Arial" w:hAnsi="Arial"/>
          <w:b/>
          <w:bCs/>
          <w:color w:val="2E63F2"/>
          <w:spacing w:val="30"/>
          <w:sz w:val="17"/>
          <w:szCs w:val="17"/>
        </w:rPr>
        <w:t xml:space="preserve">02  —  A MARCA</w:t>
      </w:r>
    </w:p>
    <w:p>
      <w:pPr>
        <w:pStyle w:val="Heading1"/>
        <w:spacing w:after="140" w:before="0"/>
      </w:pPr>
      <w:r>
        <w:rPr>
          <w:rFonts w:ascii="Arial" w:cs="Arial" w:eastAsia="Arial" w:hAnsi="Arial"/>
          <w:b/>
          <w:bCs/>
          <w:color w:val="23255C"/>
          <w:sz w:val="34"/>
          <w:szCs w:val="34"/>
        </w:rPr>
        <w:t xml:space="preserve">Do arco à órbita.</w:t>
      </w:r>
    </w:p>
    <w:p>
      <w:pPr>
        <w:spacing w:after="120" w:line="276"/>
      </w:pPr>
      <w:r>
        <w:rPr>
          <w:rFonts w:ascii="Arial" w:cs="Arial" w:eastAsia="Arial" w:hAnsi="Arial"/>
          <w:color w:val="1B1D2E"/>
          <w:sz w:val="21"/>
          <w:szCs w:val="21"/>
        </w:rPr>
        <w:t xml:space="preserve">O anel aberto expressa fluxo contínuo — a cadeia de suprimentos, os processos, os ativos em operação. O nó em ciano é o ponto de inteligência: onde o dado vira decisão. O destaque do “pro” em azul, com o “o” desenhado como o símbolo, reforça a ideia de profissional e avançado.</w:t>
      </w:r>
    </w:p>
    <w:p>
      <w:pPr>
        <w:spacing w:after="160"/>
        <w:jc w:val="center"/>
      </w:pPr>
      <w:r>
        <w:drawing>
          <wp:inline distT="0" distB="0" distL="0" distR="0">
            <wp:extent cx="41910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line="276"/>
        <w:jc w:val="center"/>
      </w:pPr>
      <w:r>
        <w:rPr>
          <w:rFonts w:ascii="Arial" w:cs="Arial" w:eastAsia="Arial" w:hAnsi="Arial"/>
          <w:i/>
          <w:iCs/>
          <w:color w:val="2A2D34"/>
          <w:sz w:val="18"/>
          <w:szCs w:val="18"/>
        </w:rPr>
        <w:t xml:space="preserve">Assinatura principal — horizontal.</w:t>
      </w:r>
    </w:p>
    <w:p>
      <w:r>
        <w:br w:type="page"/>
      </w:r>
    </w:p>
    <w:p>
      <w:pPr>
        <w:spacing w:after="40" w:before="400"/>
      </w:pPr>
      <w:r>
        <w:rPr>
          <w:rFonts w:ascii="Arial" w:cs="Arial" w:eastAsia="Arial" w:hAnsi="Arial"/>
          <w:b/>
          <w:bCs/>
          <w:color w:val="2E63F2"/>
          <w:spacing w:val="30"/>
          <w:sz w:val="17"/>
          <w:szCs w:val="17"/>
        </w:rPr>
        <w:t xml:space="preserve">03  —  ASSINATURAS</w:t>
      </w:r>
    </w:p>
    <w:p>
      <w:pPr>
        <w:pStyle w:val="Heading1"/>
        <w:spacing w:after="140" w:before="0"/>
      </w:pPr>
      <w:r>
        <w:rPr>
          <w:rFonts w:ascii="Arial" w:cs="Arial" w:eastAsia="Arial" w:hAnsi="Arial"/>
          <w:b/>
          <w:bCs/>
          <w:color w:val="23255C"/>
          <w:sz w:val="34"/>
          <w:szCs w:val="34"/>
        </w:rPr>
        <w:t xml:space="preserve">Quatro formas, um sistema.</w:t>
      </w:r>
    </w:p>
    <w:p>
      <w:pPr>
        <w:spacing w:after="120" w:line="276"/>
      </w:pPr>
      <w:r>
        <w:rPr>
          <w:rFonts w:ascii="Arial" w:cs="Arial" w:eastAsia="Arial" w:hAnsi="Arial"/>
          <w:color w:val="1B1D2E"/>
          <w:sz w:val="21"/>
          <w:szCs w:val="21"/>
        </w:rPr>
        <w:t xml:space="preserve">Use a versão que melhor respira em cada espaço. A horizontal é a principal.</w:t>
      </w:r>
    </w:p>
    <w:p>
      <w:pPr>
        <w:spacing w:after="160"/>
        <w:jc w:val="center"/>
      </w:pPr>
      <w:r>
        <w:drawing>
          <wp:inline distT="0" distB="0" distL="0" distR="0">
            <wp:extent cx="2000250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276"/>
        <w:jc w:val="center"/>
      </w:pPr>
      <w:r>
        <w:rPr>
          <w:rFonts w:ascii="Arial" w:cs="Arial" w:eastAsia="Arial" w:hAnsi="Arial"/>
          <w:i/>
          <w:iCs/>
          <w:color w:val="2A2D34"/>
          <w:sz w:val="17"/>
          <w:szCs w:val="17"/>
        </w:rPr>
        <w:t xml:space="preserve">Vertical</w:t>
      </w:r>
    </w:p>
    <w:p>
      <w:pPr>
        <w:spacing w:after="160"/>
        <w:jc w:val="center"/>
      </w:pPr>
      <w:r>
        <w:drawing>
          <wp:inline distT="0" distB="0" distL="0" distR="0">
            <wp:extent cx="4095750" cy="904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276"/>
        <w:jc w:val="center"/>
      </w:pPr>
      <w:r>
        <w:rPr>
          <w:rFonts w:ascii="Arial" w:cs="Arial" w:eastAsia="Arial" w:hAnsi="Arial"/>
          <w:i/>
          <w:iCs/>
          <w:color w:val="2A2D34"/>
          <w:sz w:val="17"/>
          <w:szCs w:val="17"/>
        </w:rPr>
        <w:t xml:space="preserve">Com tagline — “Inteligência em movimento”</w:t>
      </w:r>
    </w:p>
    <w:p>
      <w:pPr>
        <w:spacing w:after="160"/>
        <w:jc w:val="center"/>
      </w:pPr>
      <w:r>
        <w:drawing>
          <wp:inline distT="0" distB="0" distL="0" distR="0">
            <wp:extent cx="1143000" cy="1143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  <w:jc w:val="center"/>
      </w:pPr>
      <w:r>
        <w:rPr>
          <w:rFonts w:ascii="Arial" w:cs="Arial" w:eastAsia="Arial" w:hAnsi="Arial"/>
          <w:i/>
          <w:iCs/>
          <w:color w:val="2A2D34"/>
          <w:sz w:val="17"/>
          <w:szCs w:val="17"/>
        </w:rPr>
        <w:t xml:space="preserve">Símbolo isolado</w:t>
      </w:r>
    </w:p>
    <w:p>
      <w:r>
        <w:br w:type="page"/>
      </w:r>
    </w:p>
    <w:p>
      <w:pPr>
        <w:spacing w:after="40" w:before="400"/>
      </w:pPr>
      <w:r>
        <w:rPr>
          <w:rFonts w:ascii="Arial" w:cs="Arial" w:eastAsia="Arial" w:hAnsi="Arial"/>
          <w:b/>
          <w:bCs/>
          <w:color w:val="2E63F2"/>
          <w:spacing w:val="30"/>
          <w:sz w:val="17"/>
          <w:szCs w:val="17"/>
        </w:rPr>
        <w:t xml:space="preserve">04  —  CONSTRUÇÃO &amp; PROTEÇÃO</w:t>
      </w:r>
    </w:p>
    <w:p>
      <w:pPr>
        <w:pStyle w:val="Heading1"/>
        <w:spacing w:after="140" w:before="0"/>
      </w:pPr>
      <w:r>
        <w:rPr>
          <w:rFonts w:ascii="Arial" w:cs="Arial" w:eastAsia="Arial" w:hAnsi="Arial"/>
          <w:b/>
          <w:bCs/>
          <w:color w:val="23255C"/>
          <w:sz w:val="34"/>
          <w:szCs w:val="34"/>
        </w:rPr>
        <w:t xml:space="preserve">Tudo parte de uma unidade.</w:t>
      </w:r>
    </w:p>
    <w:p>
      <w:pPr>
        <w:spacing w:after="120" w:line="276"/>
      </w:pPr>
      <w:r>
        <w:rPr>
          <w:rFonts w:ascii="Arial" w:cs="Arial" w:eastAsia="Arial" w:hAnsi="Arial"/>
          <w:color w:val="1B1D2E"/>
          <w:sz w:val="21"/>
          <w:szCs w:val="21"/>
        </w:rPr>
        <w:t xml:space="preserve">A espessura do traço do anel é o módulo u. Ele governa as proporções e a área de proteção. u é proporcional — não é uma medida fixa; escala junto com a marca.</w:t>
      </w:r>
    </w:p>
    <w:p>
      <w:pPr>
        <w:spacing w:after="160"/>
        <w:jc w:val="center"/>
      </w:pPr>
      <w:r>
        <w:drawing>
          <wp:inline distT="0" distB="0" distL="0" distR="0">
            <wp:extent cx="2190750" cy="2190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line="276"/>
        <w:jc w:val="center"/>
      </w:pPr>
      <w:r>
        <w:rPr>
          <w:rFonts w:ascii="Arial" w:cs="Arial" w:eastAsia="Arial" w:hAnsi="Arial"/>
          <w:i/>
          <w:iCs/>
          <w:color w:val="2A2D34"/>
          <w:sz w:val="17"/>
          <w:szCs w:val="17"/>
        </w:rPr>
        <w:t xml:space="preserve">Grid modular — unidade u</w:t>
      </w:r>
    </w:p>
    <w:p>
      <w:pPr>
        <w:spacing w:after="160"/>
        <w:jc w:val="center"/>
      </w:pPr>
      <w:r>
        <w:drawing>
          <wp:inline distT="0" distB="0" distL="0" distR="0">
            <wp:extent cx="3429000" cy="1714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line="276"/>
        <w:jc w:val="center"/>
      </w:pPr>
      <w:r>
        <w:rPr>
          <w:rFonts w:ascii="Arial" w:cs="Arial" w:eastAsia="Arial" w:hAnsi="Arial"/>
          <w:i/>
          <w:iCs/>
          <w:color w:val="2A2D34"/>
          <w:sz w:val="17"/>
          <w:szCs w:val="17"/>
        </w:rPr>
        <w:t xml:space="preserve">Área de proteção — margem mínima de u em todos os lados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E63F2"/>
          <w:spacing w:val="20"/>
          <w:sz w:val="15"/>
          <w:szCs w:val="15"/>
        </w:rPr>
        <w:t xml:space="preserve">TAMANHOS MÍNIMOS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color w:val="23255C"/>
          <w:sz w:val="21"/>
          <w:szCs w:val="21"/>
        </w:rPr>
        <w:t xml:space="preserve">Logo — Digital: </w:t>
      </w:r>
      <w:r>
        <w:rPr>
          <w:rFonts w:ascii="Arial" w:cs="Arial" w:eastAsia="Arial" w:hAnsi="Arial"/>
          <w:color w:val="1B1D2E"/>
          <w:sz w:val="21"/>
          <w:szCs w:val="21"/>
        </w:rPr>
        <w:t xml:space="preserve">150 px de largura.    </w:t>
      </w:r>
      <w:r>
        <w:rPr>
          <w:rFonts w:ascii="Arial" w:cs="Arial" w:eastAsia="Arial" w:hAnsi="Arial"/>
          <w:b/>
          <w:bCs/>
          <w:color w:val="23255C"/>
          <w:sz w:val="21"/>
          <w:szCs w:val="21"/>
        </w:rPr>
        <w:t xml:space="preserve">Logo — Impresso: </w:t>
      </w:r>
      <w:r>
        <w:rPr>
          <w:rFonts w:ascii="Arial" w:cs="Arial" w:eastAsia="Arial" w:hAnsi="Arial"/>
          <w:color w:val="1B1D2E"/>
          <w:sz w:val="21"/>
          <w:szCs w:val="21"/>
        </w:rPr>
        <w:t xml:space="preserve">25 mm de largura.    </w:t>
      </w:r>
      <w:r>
        <w:rPr>
          <w:rFonts w:ascii="Arial" w:cs="Arial" w:eastAsia="Arial" w:hAnsi="Arial"/>
          <w:b/>
          <w:bCs/>
          <w:color w:val="23255C"/>
          <w:sz w:val="21"/>
          <w:szCs w:val="21"/>
        </w:rPr>
        <w:t xml:space="preserve">Símbolo: </w:t>
      </w:r>
      <w:r>
        <w:rPr>
          <w:rFonts w:ascii="Arial" w:cs="Arial" w:eastAsia="Arial" w:hAnsi="Arial"/>
          <w:color w:val="1B1D2E"/>
          <w:sz w:val="21"/>
          <w:szCs w:val="21"/>
        </w:rPr>
        <w:t xml:space="preserve">24 px / 6 mm.</w:t>
      </w:r>
    </w:p>
    <w:p>
      <w:r>
        <w:br w:type="page"/>
      </w:r>
    </w:p>
    <w:p>
      <w:pPr>
        <w:spacing w:after="40" w:before="400"/>
      </w:pPr>
      <w:r>
        <w:rPr>
          <w:rFonts w:ascii="Arial" w:cs="Arial" w:eastAsia="Arial" w:hAnsi="Arial"/>
          <w:b/>
          <w:bCs/>
          <w:color w:val="2E63F2"/>
          <w:spacing w:val="30"/>
          <w:sz w:val="17"/>
          <w:szCs w:val="17"/>
        </w:rPr>
        <w:t xml:space="preserve">05  —  VERSÕES &amp; FUNDOS</w:t>
      </w:r>
    </w:p>
    <w:p>
      <w:pPr>
        <w:pStyle w:val="Heading1"/>
        <w:spacing w:after="140" w:before="0"/>
      </w:pPr>
      <w:r>
        <w:rPr>
          <w:rFonts w:ascii="Arial" w:cs="Arial" w:eastAsia="Arial" w:hAnsi="Arial"/>
          <w:b/>
          <w:bCs/>
          <w:color w:val="23255C"/>
          <w:sz w:val="34"/>
          <w:szCs w:val="34"/>
        </w:rPr>
        <w:t xml:space="preserve">Sempre legível, em qualquer superfície.</w:t>
      </w:r>
    </w:p>
    <w:p>
      <w:pPr>
        <w:spacing w:after="120" w:line="276"/>
      </w:pPr>
      <w:r>
        <w:rPr>
          <w:rFonts w:ascii="Arial" w:cs="Arial" w:eastAsia="Arial" w:hAnsi="Arial"/>
          <w:color w:val="1B1D2E"/>
          <w:sz w:val="21"/>
          <w:szCs w:val="21"/>
        </w:rPr>
        <w:t xml:space="preserve">Priorize a versão colorida sobre branco ou névoa. Em fundos escuros ou saturados, use o negativo. Para gravação (metal, relevo) ou presença discreta, use a monocromática índigo.</w:t>
      </w:r>
    </w:p>
    <w:p>
      <w:pPr>
        <w:spacing w:after="160"/>
        <w:jc w:val="center"/>
      </w:pPr>
      <w:r>
        <w:drawing>
          <wp:inline distT="0" distB="0" distL="0" distR="0">
            <wp:extent cx="3429000" cy="762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line="276"/>
        <w:jc w:val="center"/>
      </w:pPr>
      <w:r>
        <w:rPr>
          <w:rFonts w:ascii="Arial" w:cs="Arial" w:eastAsia="Arial" w:hAnsi="Arial"/>
          <w:i/>
          <w:iCs/>
          <w:color w:val="2A2D34"/>
          <w:sz w:val="17"/>
          <w:szCs w:val="17"/>
        </w:rPr>
        <w:t xml:space="preserve">Colorida — fundo claro</w:t>
      </w:r>
    </w:p>
    <w:p>
      <w:pPr>
        <w:spacing w:after="160"/>
        <w:jc w:val="center"/>
      </w:pPr>
      <w:r>
        <w:drawing>
          <wp:inline distT="0" distB="0" distL="0" distR="0">
            <wp:extent cx="3429000" cy="762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line="276"/>
        <w:jc w:val="center"/>
      </w:pPr>
      <w:r>
        <w:rPr>
          <w:rFonts w:ascii="Arial" w:cs="Arial" w:eastAsia="Arial" w:hAnsi="Arial"/>
          <w:i/>
          <w:iCs/>
          <w:color w:val="2A2D34"/>
          <w:sz w:val="17"/>
          <w:szCs w:val="17"/>
        </w:rPr>
        <w:t xml:space="preserve">Negativo — fundo escuro</w:t>
      </w:r>
    </w:p>
    <w:p>
      <w:pPr>
        <w:spacing w:after="160"/>
        <w:jc w:val="center"/>
      </w:pPr>
      <w:r>
        <w:drawing>
          <wp:inline distT="0" distB="0" distL="0" distR="0">
            <wp:extent cx="3429000" cy="762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  <w:jc w:val="center"/>
      </w:pPr>
      <w:r>
        <w:rPr>
          <w:rFonts w:ascii="Arial" w:cs="Arial" w:eastAsia="Arial" w:hAnsi="Arial"/>
          <w:i/>
          <w:iCs/>
          <w:color w:val="2A2D34"/>
          <w:sz w:val="17"/>
          <w:szCs w:val="17"/>
        </w:rPr>
        <w:t xml:space="preserve">Monocromática — índigo</w:t>
      </w:r>
    </w:p>
    <w:p>
      <w:r>
        <w:br w:type="page"/>
      </w:r>
    </w:p>
    <w:p>
      <w:pPr>
        <w:spacing w:after="40" w:before="400"/>
      </w:pPr>
      <w:r>
        <w:rPr>
          <w:rFonts w:ascii="Arial" w:cs="Arial" w:eastAsia="Arial" w:hAnsi="Arial"/>
          <w:b/>
          <w:bCs/>
          <w:color w:val="2E63F2"/>
          <w:spacing w:val="30"/>
          <w:sz w:val="17"/>
          <w:szCs w:val="17"/>
        </w:rPr>
        <w:t xml:space="preserve">06  —  USOS INDEVIDOS</w:t>
      </w:r>
    </w:p>
    <w:p>
      <w:pPr>
        <w:pStyle w:val="Heading1"/>
        <w:spacing w:after="140" w:before="0"/>
      </w:pPr>
      <w:r>
        <w:rPr>
          <w:rFonts w:ascii="Arial" w:cs="Arial" w:eastAsia="Arial" w:hAnsi="Arial"/>
          <w:b/>
          <w:bCs/>
          <w:color w:val="23255C"/>
          <w:sz w:val="34"/>
          <w:szCs w:val="34"/>
        </w:rPr>
        <w:t xml:space="preserve">O que nunca fazer.</w:t>
      </w:r>
    </w:p>
    <w:p>
      <w:pPr>
        <w:spacing w:after="120" w:line="276"/>
      </w:pPr>
      <w:r>
        <w:rPr>
          <w:rFonts w:ascii="Arial" w:cs="Arial" w:eastAsia="Arial" w:hAnsi="Arial"/>
          <w:color w:val="1B1D2E"/>
          <w:sz w:val="21"/>
          <w:szCs w:val="21"/>
        </w:rPr>
        <w:t xml:space="preserve">A consistência é o que faz a marca ser reconhecida. Evite:</w:t>
      </w:r>
    </w:p>
    <w:tbl>
      <w:tblPr>
        <w:tblW w:type="dxa" w:w="9360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4"/>
        </w:tblBorders>
      </w:tblPr>
      <w:tblGrid>
        <w:gridCol w:w="4680"/>
        <w:gridCol w:w="4680"/>
      </w:tblGrid>
      <w:tr>
        <w:tc>
          <w:tcPr>
            <w:tcW w:type="dxa" w:w="4680"/>
            <w:shd w:fill="F4F6FA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E5484D"/>
                <w:sz w:val="20"/>
                <w:szCs w:val="20"/>
              </w:rPr>
              <w:t xml:space="preserve">✕  </w:t>
            </w:r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Não distorcer ou esticar</w:t>
            </w:r>
          </w:p>
        </w:tc>
        <w:tc>
          <w:tcPr>
            <w:tcW w:type="dxa" w:w="4680"/>
            <w:shd w:fill="F4F6FA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E5484D"/>
                <w:sz w:val="20"/>
                <w:szCs w:val="20"/>
              </w:rPr>
              <w:t xml:space="preserve">✕  </w:t>
            </w:r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Não girar</w:t>
            </w:r>
          </w:p>
        </w:tc>
      </w:tr>
      <w:tr>
        <w:tc>
          <w:tcPr>
            <w:tcW w:type="dxa" w:w="4680"/>
            <w:shd w:fill="F4F6FA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E5484D"/>
                <w:sz w:val="20"/>
                <w:szCs w:val="20"/>
              </w:rPr>
              <w:t xml:space="preserve">✕  </w:t>
            </w:r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Não recolorir o wordmark</w:t>
            </w:r>
          </w:p>
        </w:tc>
        <w:tc>
          <w:tcPr>
            <w:tcW w:type="dxa" w:w="4680"/>
            <w:shd w:fill="F4F6FA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E5484D"/>
                <w:sz w:val="20"/>
                <w:szCs w:val="20"/>
              </w:rPr>
              <w:t xml:space="preserve">✕  </w:t>
            </w:r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Não aplicar contorno de fio</w:t>
            </w:r>
          </w:p>
        </w:tc>
      </w:tr>
      <w:tr>
        <w:tc>
          <w:tcPr>
            <w:tcW w:type="dxa" w:w="4680"/>
            <w:shd w:fill="F4F6FA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E5484D"/>
                <w:sz w:val="20"/>
                <w:szCs w:val="20"/>
              </w:rPr>
              <w:t xml:space="preserve">✕  </w:t>
            </w:r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Não adicionar sombra ou efeito 3D</w:t>
            </w:r>
          </w:p>
        </w:tc>
        <w:tc>
          <w:tcPr>
            <w:tcW w:type="dxa" w:w="4680"/>
            <w:shd w:fill="F4F6FA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E5484D"/>
                <w:sz w:val="20"/>
                <w:szCs w:val="20"/>
              </w:rPr>
              <w:t xml:space="preserve">✕  </w:t>
            </w:r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Não invadir a área de proteção</w:t>
            </w:r>
          </w:p>
        </w:tc>
      </w:tr>
      <w:tr>
        <w:tc>
          <w:tcPr>
            <w:tcW w:type="dxa" w:w="4680"/>
            <w:shd w:fill="F4F6FA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E5484D"/>
                <w:sz w:val="20"/>
                <w:szCs w:val="20"/>
              </w:rPr>
              <w:t xml:space="preserve">✕  </w:t>
            </w:r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Não trocar as fontes</w:t>
            </w:r>
          </w:p>
        </w:tc>
        <w:tc>
          <w:tcPr>
            <w:tcW w:type="dxa" w:w="4680"/>
            <w:shd w:fill="F4F6FA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E5484D"/>
                <w:sz w:val="20"/>
                <w:szCs w:val="20"/>
              </w:rPr>
              <w:t xml:space="preserve">✕  </w:t>
            </w:r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Não alterar as cores dos elementos</w:t>
            </w:r>
          </w:p>
        </w:tc>
      </w:tr>
    </w:tbl>
    <w:p>
      <w:r>
        <w:br w:type="page"/>
      </w:r>
    </w:p>
    <w:p>
      <w:pPr>
        <w:spacing w:after="40" w:before="400"/>
      </w:pPr>
      <w:r>
        <w:rPr>
          <w:rFonts w:ascii="Arial" w:cs="Arial" w:eastAsia="Arial" w:hAnsi="Arial"/>
          <w:b/>
          <w:bCs/>
          <w:color w:val="2E63F2"/>
          <w:spacing w:val="30"/>
          <w:sz w:val="17"/>
          <w:szCs w:val="17"/>
        </w:rPr>
        <w:t xml:space="preserve">07  —  CORES</w:t>
      </w:r>
    </w:p>
    <w:p>
      <w:pPr>
        <w:pStyle w:val="Heading1"/>
        <w:spacing w:after="140" w:before="0"/>
      </w:pPr>
      <w:r>
        <w:rPr>
          <w:rFonts w:ascii="Arial" w:cs="Arial" w:eastAsia="Arial" w:hAnsi="Arial"/>
          <w:b/>
          <w:bCs/>
          <w:color w:val="23255C"/>
          <w:sz w:val="34"/>
          <w:szCs w:val="34"/>
        </w:rPr>
        <w:t xml:space="preserve">Paleta institucional.</w:t>
      </w:r>
    </w:p>
    <w:p>
      <w:pPr>
        <w:spacing w:after="120" w:line="276"/>
      </w:pPr>
      <w:r>
        <w:rPr>
          <w:rFonts w:ascii="Arial" w:cs="Arial" w:eastAsia="Arial" w:hAnsi="Arial"/>
          <w:color w:val="1B1D2E"/>
          <w:sz w:val="21"/>
          <w:szCs w:val="21"/>
        </w:rPr>
        <w:t xml:space="preserve">Índigo e azul sustentam a marca; o ciano é o acento de inteligência, usado com parcimônia. Reproduza com rigor. Valores Pantone são indicativos — confirme em guia físico antes de imprimir.</w:t>
      </w:r>
    </w:p>
    <w:tbl>
      <w:tblPr>
        <w:tblW w:type="dxa" w:w="9360"/>
        <w:tblBorders>
          <w:top w:val="single" w:color="E4E8F0" w:sz="4"/>
          <w:left w:val="single" w:color="E4E8F0" w:sz="4"/>
          <w:bottom w:val="single" w:color="E4E8F0" w:sz="4"/>
          <w:right w:val="single" w:color="E4E8F0" w:sz="4"/>
          <w:insideH w:val="single" w:color="E4E8F0" w:sz="4"/>
          <w:insideV w:val="single" w:color="E4E8F0" w:sz="4"/>
        </w:tblBorders>
      </w:tblPr>
      <w:tblGrid>
        <w:gridCol w:w="1500"/>
        <w:gridCol w:w="2100"/>
        <w:gridCol w:w="1900"/>
        <w:gridCol w:w="1960"/>
        <w:gridCol w:w="1900"/>
      </w:tblGrid>
      <w:tr>
        <w:trPr>
          <w:tblHeader/>
        </w:trPr>
        <w:tc>
          <w:tcPr>
            <w:tcW w:type="dxa" w:w="1500"/>
            <w:shd w:fill="23255C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Cor</w:t>
            </w:r>
          </w:p>
        </w:tc>
        <w:tc>
          <w:tcPr>
            <w:tcW w:type="dxa" w:w="2100"/>
            <w:shd w:fill="23255C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Amostra / HEX</w:t>
            </w:r>
          </w:p>
        </w:tc>
        <w:tc>
          <w:tcPr>
            <w:tcW w:type="dxa" w:w="1900"/>
            <w:shd w:fill="23255C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Pantone</w:t>
            </w:r>
          </w:p>
        </w:tc>
        <w:tc>
          <w:tcPr>
            <w:tcW w:type="dxa" w:w="1960"/>
            <w:shd w:fill="23255C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CMYK</w:t>
            </w:r>
          </w:p>
        </w:tc>
        <w:tc>
          <w:tcPr>
            <w:tcW w:type="dxa" w:w="1900"/>
            <w:shd w:fill="23255C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RGB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23255C"/>
                <w:sz w:val="19"/>
                <w:szCs w:val="19"/>
              </w:rPr>
              <w:t xml:space="preserve">Índigo Profundo</w:t>
            </w:r>
          </w:p>
        </w:tc>
        <w:tc>
          <w:tcPr>
            <w:tcW w:type="dxa" w:w="2100"/>
            <w:shd w:fill="23255C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#23255C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2758 C</w:t>
            </w:r>
          </w:p>
        </w:tc>
        <w:tc>
          <w:tcPr>
            <w:tcW w:type="dxa" w:w="1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62 60 0 64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35 37 92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23255C"/>
                <w:sz w:val="19"/>
                <w:szCs w:val="19"/>
              </w:rPr>
              <w:t xml:space="preserve">Azul Intech</w:t>
            </w:r>
          </w:p>
        </w:tc>
        <w:tc>
          <w:tcPr>
            <w:tcW w:type="dxa" w:w="2100"/>
            <w:shd w:fill="2E63F2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#2E63F2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2727 C</w:t>
            </w:r>
          </w:p>
        </w:tc>
        <w:tc>
          <w:tcPr>
            <w:tcW w:type="dxa" w:w="1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81 59 0 5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46 99 242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23255C"/>
                <w:sz w:val="19"/>
                <w:szCs w:val="19"/>
              </w:rPr>
              <w:t xml:space="preserve">Ciano Fluxo</w:t>
            </w:r>
          </w:p>
        </w:tc>
        <w:tc>
          <w:tcPr>
            <w:tcW w:type="dxa" w:w="2100"/>
            <w:shd w:fill="17CFE0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#17CFE0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3115 C</w:t>
            </w:r>
          </w:p>
        </w:tc>
        <w:tc>
          <w:tcPr>
            <w:tcW w:type="dxa" w:w="1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90 8 0 12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23 207 224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23255C"/>
                <w:sz w:val="19"/>
                <w:szCs w:val="19"/>
              </w:rPr>
              <w:t xml:space="preserve">Grafite</w:t>
            </w:r>
          </w:p>
        </w:tc>
        <w:tc>
          <w:tcPr>
            <w:tcW w:type="dxa" w:w="2100"/>
            <w:shd w:fill="2A2D34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#2A2D34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Neutral Black 7 C</w:t>
            </w:r>
          </w:p>
        </w:tc>
        <w:tc>
          <w:tcPr>
            <w:tcW w:type="dxa" w:w="1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19 13 0 80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42 45 52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23255C"/>
                <w:sz w:val="19"/>
                <w:szCs w:val="19"/>
              </w:rPr>
              <w:t xml:space="preserve">Névoa</w:t>
            </w:r>
          </w:p>
        </w:tc>
        <w:tc>
          <w:tcPr>
            <w:tcW w:type="dxa" w:w="2100"/>
            <w:tcBorders>
              <w:top w:val="single" w:color="E4E8F0" w:sz="6"/>
              <w:left w:val="single" w:color="E4E8F0" w:sz="6"/>
              <w:bottom w:val="single" w:color="E4E8F0" w:sz="6"/>
              <w:right w:val="single" w:color="E4E8F0" w:sz="6"/>
            </w:tcBorders>
            <w:shd w:fill="F4F6FA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55C"/>
                <w:sz w:val="17"/>
                <w:szCs w:val="17"/>
              </w:rPr>
              <w:t xml:space="preserve">#F4F6FA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663 C</w:t>
            </w:r>
          </w:p>
        </w:tc>
        <w:tc>
          <w:tcPr>
            <w:tcW w:type="dxa" w:w="1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2 2 0 2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244 246 250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23255C"/>
                <w:sz w:val="19"/>
                <w:szCs w:val="19"/>
              </w:rPr>
              <w:t xml:space="preserve">Branco</w:t>
            </w:r>
          </w:p>
        </w:tc>
        <w:tc>
          <w:tcPr>
            <w:tcW w:type="dxa" w:w="2100"/>
            <w:tcBorders>
              <w:top w:val="single" w:color="E4E8F0" w:sz="6"/>
              <w:left w:val="single" w:color="E4E8F0" w:sz="6"/>
              <w:bottom w:val="single" w:color="E4E8F0" w:sz="6"/>
              <w:right w:val="single" w:color="E4E8F0" w:sz="6"/>
            </w:tcBorders>
            <w:shd w:fill="FFFFFF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55C"/>
                <w:sz w:val="17"/>
                <w:szCs w:val="17"/>
              </w:rPr>
              <w:t xml:space="preserve">#FFFFFF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—</w:t>
            </w:r>
          </w:p>
        </w:tc>
        <w:tc>
          <w:tcPr>
            <w:tcW w:type="dxa" w:w="1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0 0 0 0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2A2D34"/>
                <w:sz w:val="19"/>
                <w:szCs w:val="19"/>
              </w:rPr>
              <w:t xml:space="preserve">255 255 255</w:t>
            </w:r>
          </w:p>
        </w:tc>
      </w:tr>
    </w:tbl>
    <w:p>
      <w:r>
        <w:br w:type="page"/>
      </w:r>
    </w:p>
    <w:p>
      <w:pPr>
        <w:spacing w:after="40" w:before="400"/>
      </w:pPr>
      <w:r>
        <w:rPr>
          <w:rFonts w:ascii="Arial" w:cs="Arial" w:eastAsia="Arial" w:hAnsi="Arial"/>
          <w:b/>
          <w:bCs/>
          <w:color w:val="2E63F2"/>
          <w:spacing w:val="30"/>
          <w:sz w:val="17"/>
          <w:szCs w:val="17"/>
        </w:rPr>
        <w:t xml:space="preserve">08  —  TIPOGRAFIA</w:t>
      </w:r>
    </w:p>
    <w:p>
      <w:pPr>
        <w:pStyle w:val="Heading1"/>
        <w:spacing w:after="140" w:before="0"/>
      </w:pPr>
      <w:r>
        <w:rPr>
          <w:rFonts w:ascii="Arial" w:cs="Arial" w:eastAsia="Arial" w:hAnsi="Arial"/>
          <w:b/>
          <w:bCs/>
          <w:color w:val="23255C"/>
          <w:sz w:val="34"/>
          <w:szCs w:val="34"/>
        </w:rPr>
        <w:t xml:space="preserve">Três vozes, um discurso.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color w:val="23255C"/>
          <w:sz w:val="21"/>
          <w:szCs w:val="21"/>
        </w:rPr>
        <w:t xml:space="preserve">Sora — Institucional.  </w:t>
      </w:r>
      <w:r>
        <w:rPr>
          <w:rFonts w:ascii="Arial" w:cs="Arial" w:eastAsia="Arial" w:hAnsi="Arial"/>
          <w:color w:val="1B1D2E"/>
          <w:sz w:val="21"/>
          <w:szCs w:val="21"/>
        </w:rPr>
        <w:t xml:space="preserve">Documentos, apresentações, papelaria e interface. É a tipografia que forma o wordmark “intechpro”. Pesos: Regular, Medium, SemiBold, Bold.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color w:val="23255C"/>
          <w:sz w:val="21"/>
          <w:szCs w:val="21"/>
        </w:rPr>
        <w:t xml:space="preserve">Space Grotesk — Promocional.  </w:t>
      </w:r>
      <w:r>
        <w:rPr>
          <w:rFonts w:ascii="Arial" w:cs="Arial" w:eastAsia="Arial" w:hAnsi="Arial"/>
          <w:color w:val="1B1D2E"/>
          <w:sz w:val="21"/>
          <w:szCs w:val="21"/>
        </w:rPr>
        <w:t xml:space="preserve">Headlines, anúncios, redes sociais e a tagline. Personalidade técnica e enérgica. Ideal em caixa-alta com espaçamento.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color w:val="23255C"/>
          <w:sz w:val="21"/>
          <w:szCs w:val="21"/>
        </w:rPr>
        <w:t xml:space="preserve">Arial — Sistema.  </w:t>
      </w:r>
      <w:r>
        <w:rPr>
          <w:rFonts w:ascii="Arial" w:cs="Arial" w:eastAsia="Arial" w:hAnsi="Arial"/>
          <w:color w:val="1B1D2E"/>
          <w:sz w:val="21"/>
          <w:szCs w:val="21"/>
        </w:rPr>
        <w:t xml:space="preserve">Quando as fontes oficiais não estão disponíveis (assinatura de e-mail, papel timbrado, .docx/.pptx). Onipresente e legível — é a fonte usada neste próprio documento.</w:t>
      </w:r>
    </w:p>
    <w:p>
      <w:pPr>
        <w:pBdr>
          <w:bottom w:val="single" w:color="E4E8F0" w:sz="8"/>
        </w:pBdr>
        <w:spacing w:after="160"/>
      </w:pPr>
    </w:p>
    <w:p>
      <w:pPr>
        <w:spacing w:after="120" w:line="276"/>
      </w:pPr>
      <w:r>
        <w:rPr>
          <w:rFonts w:ascii="Arial" w:cs="Arial" w:eastAsia="Arial" w:hAnsi="Arial"/>
          <w:i/>
          <w:iCs/>
          <w:color w:val="2A2D34"/>
          <w:sz w:val="19"/>
          <w:szCs w:val="19"/>
        </w:rPr>
        <w:t xml:space="preserve">Dica: para blocos de texto corrido, use sempre a Sora nos materiais institucionais e a Noka/Space Grotesk apenas em títulos e chamadas promocionais.</w:t>
      </w:r>
    </w:p>
    <w:p>
      <w:r>
        <w:br w:type="page"/>
      </w:r>
    </w:p>
    <w:p>
      <w:pPr>
        <w:spacing w:after="40" w:before="400"/>
      </w:pPr>
      <w:r>
        <w:rPr>
          <w:rFonts w:ascii="Arial" w:cs="Arial" w:eastAsia="Arial" w:hAnsi="Arial"/>
          <w:b/>
          <w:bCs/>
          <w:color w:val="2E63F2"/>
          <w:spacing w:val="30"/>
          <w:sz w:val="17"/>
          <w:szCs w:val="17"/>
        </w:rPr>
        <w:t xml:space="preserve">09  —  APLICAÇÕES</w:t>
      </w:r>
    </w:p>
    <w:p>
      <w:pPr>
        <w:pStyle w:val="Heading1"/>
        <w:spacing w:after="140" w:before="0"/>
      </w:pPr>
      <w:r>
        <w:rPr>
          <w:rFonts w:ascii="Arial" w:cs="Arial" w:eastAsia="Arial" w:hAnsi="Arial"/>
          <w:b/>
          <w:bCs/>
          <w:color w:val="23255C"/>
          <w:sz w:val="34"/>
          <w:szCs w:val="34"/>
        </w:rPr>
        <w:t xml:space="preserve">A marca no mundo real.</w:t>
      </w:r>
    </w:p>
    <w:p>
      <w:pPr>
        <w:spacing w:after="120" w:line="276"/>
      </w:pPr>
      <w:r>
        <w:rPr>
          <w:rFonts w:ascii="Arial" w:cs="Arial" w:eastAsia="Arial" w:hAnsi="Arial"/>
          <w:color w:val="1B1D2E"/>
          <w:sz w:val="21"/>
          <w:szCs w:val="21"/>
        </w:rPr>
        <w:t xml:space="preserve">Exemplos de uso em pontos de contato do dia a dia.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E63F2"/>
          <w:spacing w:val="20"/>
          <w:sz w:val="15"/>
          <w:szCs w:val="15"/>
        </w:rPr>
        <w:t xml:space="preserve">AVATAR DE APP &amp; FAVICON</w:t>
      </w:r>
    </w:p>
    <w:p>
      <w:pPr>
        <w:spacing w:after="160"/>
      </w:pPr>
      <w:r>
        <w:drawing>
          <wp:inline distT="0" distB="0" distL="0" distR="0">
            <wp:extent cx="857250" cy="857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53340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cs="Arial" w:eastAsia="Arial" w:hAnsi="Arial"/>
          <w:b/>
          <w:bCs/>
          <w:color w:val="2E63F2"/>
          <w:spacing w:val="20"/>
          <w:sz w:val="15"/>
          <w:szCs w:val="15"/>
        </w:rPr>
        <w:t xml:space="preserve">ASSINATURA DE E-MAIL</w:t>
      </w:r>
    </w:p>
    <w:p>
      <w:pPr>
        <w:spacing w:after="80"/>
        <w:jc w:val="left"/>
      </w:pPr>
      <w:r>
        <w:drawing>
          <wp:inline distT="0" distB="0" distL="0" distR="0">
            <wp:extent cx="1714500" cy="38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line="276"/>
      </w:pPr>
      <w:r>
        <w:rPr>
          <w:rFonts w:ascii="Arial" w:cs="Arial" w:eastAsia="Arial" w:hAnsi="Arial"/>
          <w:b/>
          <w:bCs/>
          <w:color w:val="23255C"/>
          <w:sz w:val="20"/>
          <w:szCs w:val="20"/>
        </w:rPr>
        <w:t xml:space="preserve">Nome Sobrenome</w:t>
      </w:r>
    </w:p>
    <w:p>
      <w:pPr>
        <w:spacing w:after="20" w:line="276"/>
      </w:pPr>
      <w:r>
        <w:rPr>
          <w:rFonts w:ascii="Arial" w:cs="Arial" w:eastAsia="Arial" w:hAnsi="Arial"/>
          <w:color w:val="2A2D34"/>
          <w:sz w:val="17"/>
          <w:szCs w:val="17"/>
        </w:rPr>
        <w:t xml:space="preserve">Cargo · Digital Supply Chain</w:t>
      </w:r>
    </w:p>
    <w:p>
      <w:pPr>
        <w:spacing w:after="60" w:line="276"/>
      </w:pPr>
      <w:r>
        <w:rPr>
          <w:rFonts w:ascii="Arial" w:cs="Arial" w:eastAsia="Arial" w:hAnsi="Arial"/>
          <w:color w:val="2A2D34"/>
          <w:sz w:val="17"/>
          <w:szCs w:val="17"/>
        </w:rPr>
        <w:t xml:space="preserve">nome@intechpro.com.br  ·  www.intechpro.com.br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color w:val="2E63F2"/>
          <w:sz w:val="16"/>
          <w:szCs w:val="16"/>
        </w:rPr>
        <w:t xml:space="preserve">SAP Partner   ·   Docusign   ·   IA · Gestão de Ativos</w:t>
      </w:r>
    </w:p>
    <w:p>
      <w:r>
        <w:br w:type="page"/>
      </w:r>
    </w:p>
    <w:p>
      <w:pPr>
        <w:spacing w:after="40" w:before="400"/>
      </w:pPr>
      <w:r>
        <w:rPr>
          <w:rFonts w:ascii="Arial" w:cs="Arial" w:eastAsia="Arial" w:hAnsi="Arial"/>
          <w:b/>
          <w:bCs/>
          <w:color w:val="2E63F2"/>
          <w:spacing w:val="30"/>
          <w:sz w:val="17"/>
          <w:szCs w:val="17"/>
        </w:rPr>
        <w:t xml:space="preserve">—  —  ENCERRAMENTO</w:t>
      </w:r>
    </w:p>
    <w:p>
      <w:pPr>
        <w:pStyle w:val="Heading1"/>
        <w:spacing w:after="140" w:before="0"/>
      </w:pPr>
      <w:r>
        <w:rPr>
          <w:rFonts w:ascii="Arial" w:cs="Arial" w:eastAsia="Arial" w:hAnsi="Arial"/>
          <w:b/>
          <w:bCs/>
          <w:color w:val="23255C"/>
          <w:sz w:val="30"/>
          <w:szCs w:val="30"/>
        </w:rPr>
        <w:t xml:space="preserve">intechpro · Sistema Órbita</w:t>
      </w:r>
    </w:p>
    <w:p>
      <w:pPr>
        <w:spacing w:after="120" w:line="276"/>
      </w:pPr>
      <w:r>
        <w:rPr>
          <w:rFonts w:ascii="Arial" w:cs="Arial" w:eastAsia="Arial" w:hAnsi="Arial"/>
          <w:color w:val="2A2D34"/>
          <w:sz w:val="21"/>
          <w:szCs w:val="21"/>
        </w:rPr>
        <w:t xml:space="preserve">Este material foi desenvolvido para orientar o uso consistente da marca. As cores podem variar na impressão — consulte sempre os valores Pantone/CMYK. Para arquivos vetoriais e novas aplicações, procure a equipe de marketing.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color w:val="2E63F2"/>
          <w:sz w:val="22"/>
          <w:szCs w:val="22"/>
        </w:rPr>
        <w:t xml:space="preserve">www.intechpro.com.br</w:t>
      </w:r>
    </w:p>
    <w:p>
      <w:pPr>
        <w:spacing w:after="120" w:line="276"/>
      </w:pPr>
      <w:r>
        <w:rPr>
          <w:rFonts w:ascii="Arial" w:cs="Arial" w:eastAsia="Arial" w:hAnsi="Arial"/>
          <w:color w:val="2A2D34"/>
          <w:sz w:val="17"/>
          <w:szCs w:val="17"/>
        </w:rPr>
        <w:t xml:space="preserve">Guia de Marca · v1.0 · Julho de 2026</w:t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D2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8dc36139e93edc72195750466158bbe959e3a5c.png"/><Relationship Id="rId8" Type="http://schemas.openxmlformats.org/officeDocument/2006/relationships/image" Target="media/2755f2ae9a2e45a66463137e3b2c6adc7fe3725d.png"/><Relationship Id="rId9" Type="http://schemas.openxmlformats.org/officeDocument/2006/relationships/image" Target="media/76b9d96acb0119295e960826993c0309efbc8cef.png"/><Relationship Id="rId10" Type="http://schemas.openxmlformats.org/officeDocument/2006/relationships/image" Target="media/a4a9ae8ebc5a901004a29f236c110d7fcaa35b56.png"/><Relationship Id="rId11" Type="http://schemas.openxmlformats.org/officeDocument/2006/relationships/image" Target="media/d725edeb9aad30018989de7854098e7dd90ba6ec.png"/><Relationship Id="rId12" Type="http://schemas.openxmlformats.org/officeDocument/2006/relationships/image" Target="media/4b7f6aadd8eb6f8ad12be70f385b81ccec20f58d.png"/><Relationship Id="rId13" Type="http://schemas.openxmlformats.org/officeDocument/2006/relationships/image" Target="media/fa43302a60619b77553e82189eb3ec60c6a774ff.png"/><Relationship Id="rId14" Type="http://schemas.openxmlformats.org/officeDocument/2006/relationships/image" Target="media/1936a8cbcd025658604a7f8c6f867eccd73937d5.png"/><Relationship Id="rId15" Type="http://schemas.openxmlformats.org/officeDocument/2006/relationships/image" Target="media/9bd317fd9d42ad7b7623eb70925d074349d4c159.png"/><Relationship Id="rId16" Type="http://schemas.openxmlformats.org/officeDocument/2006/relationships/image" Target="media/5e52aca396ee8c814fba27caf4e2ed9d15f77a0b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intechpro — Manual da Marca</dc:title>
  <dc:creator>intechpro</dc:creator>
  <cp:lastModifiedBy>Un-named</cp:lastModifiedBy>
  <cp:revision>1</cp:revision>
  <dcterms:created xsi:type="dcterms:W3CDTF">2026-07-02T20:23:51.742Z</dcterms:created>
  <dcterms:modified xsi:type="dcterms:W3CDTF">2026-07-02T20:23:51.742Z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